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4A9DE" w14:textId="77777777" w:rsidR="00B4380C" w:rsidRPr="004D5DA2" w:rsidRDefault="00B4380C" w:rsidP="00B4380C">
      <w:pPr>
        <w:jc w:val="center"/>
        <w:rPr>
          <w:rFonts w:ascii="Book Antiqua" w:hAnsi="Book Antiqua"/>
          <w:b/>
          <w:sz w:val="36"/>
          <w:szCs w:val="36"/>
          <w:u w:val="single"/>
        </w:rPr>
      </w:pPr>
      <w:r w:rsidRPr="004D5DA2">
        <w:rPr>
          <w:rFonts w:ascii="Book Antiqua" w:hAnsi="Book Antiqua"/>
          <w:b/>
          <w:sz w:val="36"/>
          <w:szCs w:val="36"/>
          <w:u w:val="single"/>
        </w:rPr>
        <w:t>Intellectual Disability and the Death Penalty</w:t>
      </w:r>
    </w:p>
    <w:p w14:paraId="65759ED6" w14:textId="77777777" w:rsidR="00B4380C" w:rsidRPr="004D5DA2" w:rsidRDefault="00B4380C" w:rsidP="004D5DA2">
      <w:pPr>
        <w:jc w:val="center"/>
        <w:rPr>
          <w:rFonts w:ascii="Book Antiqua" w:hAnsi="Book Antiqua"/>
          <w:b/>
          <w:sz w:val="36"/>
          <w:szCs w:val="36"/>
        </w:rPr>
      </w:pPr>
      <w:r w:rsidRPr="004D5DA2">
        <w:rPr>
          <w:rFonts w:ascii="Book Antiqua" w:hAnsi="Book Antiqua"/>
          <w:b/>
          <w:sz w:val="36"/>
          <w:szCs w:val="36"/>
        </w:rPr>
        <w:t xml:space="preserve">CHANGE THE STANDARD OF PROOF </w:t>
      </w:r>
    </w:p>
    <w:p w14:paraId="6C5B54E0" w14:textId="77777777" w:rsidR="00B4380C" w:rsidRPr="004D5DA2" w:rsidRDefault="00B4380C" w:rsidP="002E45A2">
      <w:pPr>
        <w:rPr>
          <w:rFonts w:ascii="Book Antiqua" w:hAnsi="Book Antiqua"/>
          <w:b/>
          <w:sz w:val="22"/>
          <w:szCs w:val="22"/>
        </w:rPr>
      </w:pPr>
      <w:r w:rsidRPr="004D5DA2">
        <w:rPr>
          <w:rFonts w:ascii="Book Antiqua" w:hAnsi="Book Antiqua"/>
          <w:b/>
          <w:sz w:val="22"/>
          <w:szCs w:val="22"/>
        </w:rPr>
        <w:t>Background:</w:t>
      </w:r>
    </w:p>
    <w:p w14:paraId="06D40D1D" w14:textId="77777777" w:rsidR="0070365D" w:rsidRPr="004D5DA2" w:rsidRDefault="00B4380C" w:rsidP="0070365D">
      <w:pPr>
        <w:pStyle w:val="Bibliography"/>
        <w:numPr>
          <w:ilvl w:val="0"/>
          <w:numId w:val="4"/>
        </w:numPr>
        <w:rPr>
          <w:rFonts w:ascii="Book Antiqua" w:hAnsi="Book Antiqua"/>
          <w:noProof/>
          <w:sz w:val="22"/>
          <w:szCs w:val="22"/>
        </w:rPr>
      </w:pPr>
      <w:r w:rsidRPr="004D5DA2">
        <w:rPr>
          <w:rStyle w:val="Emphasis"/>
          <w:rFonts w:ascii="Book Antiqua" w:hAnsi="Book Antiqua"/>
          <w:sz w:val="22"/>
          <w:szCs w:val="22"/>
        </w:rPr>
        <w:t>Intellectual disability</w:t>
      </w:r>
      <w:r w:rsidRPr="004D5DA2">
        <w:rPr>
          <w:rFonts w:ascii="Book Antiqua" w:hAnsi="Book Antiqua"/>
          <w:sz w:val="22"/>
          <w:szCs w:val="22"/>
        </w:rPr>
        <w:t xml:space="preserve"> is a disability characterized by significant limitations in both </w:t>
      </w:r>
      <w:r w:rsidRPr="004D5DA2">
        <w:rPr>
          <w:rStyle w:val="Strong"/>
          <w:rFonts w:ascii="Book Antiqua" w:hAnsi="Book Antiqua"/>
          <w:b w:val="0"/>
          <w:sz w:val="22"/>
          <w:szCs w:val="22"/>
        </w:rPr>
        <w:t>intellectual functioning (</w:t>
      </w:r>
      <w:r w:rsidR="00474B65">
        <w:rPr>
          <w:rStyle w:val="Strong"/>
          <w:rFonts w:ascii="Book Antiqua" w:hAnsi="Book Antiqua"/>
          <w:b w:val="0"/>
          <w:sz w:val="22"/>
          <w:szCs w:val="22"/>
        </w:rPr>
        <w:t xml:space="preserve">which </w:t>
      </w:r>
      <w:r w:rsidRPr="004D5DA2">
        <w:rPr>
          <w:rFonts w:ascii="Book Antiqua" w:hAnsi="Book Antiqua"/>
          <w:sz w:val="22"/>
          <w:szCs w:val="22"/>
        </w:rPr>
        <w:t>refers to general mental capacity, such as learning, reaso</w:t>
      </w:r>
      <w:r w:rsidR="004A0959">
        <w:rPr>
          <w:rFonts w:ascii="Book Antiqua" w:hAnsi="Book Antiqua"/>
          <w:sz w:val="22"/>
          <w:szCs w:val="22"/>
        </w:rPr>
        <w:t>ning, problem solving, etc.</w:t>
      </w:r>
      <w:r w:rsidRPr="004D5DA2">
        <w:rPr>
          <w:rFonts w:ascii="Book Antiqua" w:hAnsi="Book Antiqua"/>
          <w:sz w:val="22"/>
          <w:szCs w:val="22"/>
        </w:rPr>
        <w:t xml:space="preserve">) and in </w:t>
      </w:r>
      <w:r w:rsidRPr="004D5DA2">
        <w:rPr>
          <w:rStyle w:val="Strong"/>
          <w:rFonts w:ascii="Book Antiqua" w:hAnsi="Book Antiqua"/>
          <w:b w:val="0"/>
          <w:sz w:val="22"/>
          <w:szCs w:val="22"/>
        </w:rPr>
        <w:t>adaptive behavior (</w:t>
      </w:r>
      <w:r w:rsidRPr="004D5DA2">
        <w:rPr>
          <w:rFonts w:ascii="Book Antiqua" w:hAnsi="Book Antiqua"/>
          <w:sz w:val="22"/>
          <w:szCs w:val="22"/>
        </w:rPr>
        <w:t>the collection of conceptional, social, and practical skills that are learned and performed by people in their everyday lives)</w:t>
      </w:r>
      <w:r w:rsidR="004A0959">
        <w:rPr>
          <w:rFonts w:ascii="Book Antiqua" w:hAnsi="Book Antiqua"/>
          <w:b/>
          <w:sz w:val="22"/>
          <w:szCs w:val="22"/>
        </w:rPr>
        <w:t xml:space="preserve">, </w:t>
      </w:r>
      <w:r w:rsidR="004A0959">
        <w:rPr>
          <w:rFonts w:ascii="Book Antiqua" w:hAnsi="Book Antiqua"/>
          <w:sz w:val="22"/>
          <w:szCs w:val="22"/>
        </w:rPr>
        <w:t xml:space="preserve">which </w:t>
      </w:r>
      <w:r w:rsidRPr="004D5DA2">
        <w:rPr>
          <w:rFonts w:ascii="Book Antiqua" w:hAnsi="Book Antiqua"/>
          <w:sz w:val="22"/>
          <w:szCs w:val="22"/>
        </w:rPr>
        <w:t xml:space="preserve">covers many everyday social and practical skills. This disability originates </w:t>
      </w:r>
      <w:r w:rsidRPr="004D5DA2">
        <w:rPr>
          <w:rStyle w:val="Strong"/>
          <w:rFonts w:ascii="Book Antiqua" w:hAnsi="Book Antiqua"/>
          <w:b w:val="0"/>
          <w:sz w:val="22"/>
          <w:szCs w:val="22"/>
        </w:rPr>
        <w:t>before the age of 18</w:t>
      </w:r>
      <w:r w:rsidRPr="004D5DA2">
        <w:rPr>
          <w:rFonts w:ascii="Book Antiqua" w:hAnsi="Book Antiqua"/>
          <w:sz w:val="22"/>
          <w:szCs w:val="22"/>
        </w:rPr>
        <w:t>. (</w:t>
      </w:r>
      <w:r w:rsidRPr="004D5DA2">
        <w:rPr>
          <w:rFonts w:ascii="Book Antiqua" w:hAnsi="Book Antiqua"/>
          <w:noProof/>
          <w:sz w:val="22"/>
          <w:szCs w:val="22"/>
        </w:rPr>
        <w:t xml:space="preserve">American Assoication on Intellectual and Developmental Disabilities. </w:t>
      </w:r>
      <w:hyperlink r:id="rId9" w:history="1">
        <w:r w:rsidR="0070365D" w:rsidRPr="004D5DA2">
          <w:rPr>
            <w:rStyle w:val="Hyperlink"/>
            <w:rFonts w:ascii="Book Antiqua" w:hAnsi="Book Antiqua"/>
            <w:noProof/>
            <w:sz w:val="22"/>
            <w:szCs w:val="22"/>
          </w:rPr>
          <w:t>http://aaidd.org/intellectual-disability/definition</w:t>
        </w:r>
      </w:hyperlink>
      <w:r w:rsidRPr="004D5DA2">
        <w:rPr>
          <w:rFonts w:ascii="Book Antiqua" w:hAnsi="Book Antiqua"/>
          <w:noProof/>
          <w:sz w:val="22"/>
          <w:szCs w:val="22"/>
        </w:rPr>
        <w:t>)</w:t>
      </w:r>
    </w:p>
    <w:p w14:paraId="1007CF34" w14:textId="77777777" w:rsidR="00981EAE" w:rsidRPr="00981EAE" w:rsidRDefault="001B7772" w:rsidP="002E45A2">
      <w:pPr>
        <w:pStyle w:val="ListParagraph"/>
        <w:numPr>
          <w:ilvl w:val="0"/>
          <w:numId w:val="4"/>
        </w:numPr>
        <w:spacing w:line="240" w:lineRule="auto"/>
        <w:rPr>
          <w:rFonts w:ascii="Book Antiqua" w:hAnsi="Book Antiqua"/>
          <w:b/>
        </w:rPr>
      </w:pPr>
      <w:r>
        <w:rPr>
          <w:rFonts w:ascii="Book Antiqua" w:hAnsi="Book Antiqua"/>
        </w:rPr>
        <w:t>People often confuse intellectual disability with other common diagnoses and labels. ID is not mental illness, schizophrenia, bipolar depression, conduct disorders or other behavioral or mental health diagnoses.  It is not Fetal Alcohol Spectrum Syndrome (FAS/FAE); Autism Spectrum Disorder (Autism); Post Traumatic Stress Disorder (PTSD), Attention Deficit or Attention Deficit Hyperactivity Disorder (ADD or ADHD).  People may have co-occurring disabilities, such as those listed, but having an intellectual disability must meet the specific diagnostic criteria of intellectual disability.       </w:t>
      </w:r>
    </w:p>
    <w:p w14:paraId="16A4C42D" w14:textId="77777777" w:rsidR="00B4380C" w:rsidRPr="004D5DA2" w:rsidRDefault="00B4380C" w:rsidP="002E45A2">
      <w:pPr>
        <w:pStyle w:val="ListParagraph"/>
        <w:numPr>
          <w:ilvl w:val="0"/>
          <w:numId w:val="4"/>
        </w:numPr>
        <w:spacing w:line="240" w:lineRule="auto"/>
        <w:rPr>
          <w:rFonts w:ascii="Book Antiqua" w:hAnsi="Book Antiqua"/>
          <w:b/>
        </w:rPr>
      </w:pPr>
      <w:r w:rsidRPr="004D5DA2">
        <w:rPr>
          <w:rFonts w:ascii="Book Antiqua" w:hAnsi="Book Antiqua"/>
        </w:rPr>
        <w:t xml:space="preserve">In 1986, Jerome Bowden, a man with intellectual disabilities, was executed in Georgia. This caused such a backlash that Georgia was the first state that voluntarily banned the execution of people with intellectual disabilities in 1988. This was 14 years before the Supreme Court ruled on the matter in </w:t>
      </w:r>
      <w:r w:rsidRPr="004D5DA2">
        <w:rPr>
          <w:rFonts w:ascii="Book Antiqua" w:hAnsi="Book Antiqua"/>
          <w:i/>
        </w:rPr>
        <w:t>Atkins v. Virginia</w:t>
      </w:r>
      <w:r w:rsidRPr="004D5DA2">
        <w:rPr>
          <w:rFonts w:ascii="Book Antiqua" w:hAnsi="Book Antiqua"/>
        </w:rPr>
        <w:t xml:space="preserve">. </w:t>
      </w:r>
    </w:p>
    <w:p w14:paraId="4A06B45C" w14:textId="77777777" w:rsidR="00B4380C" w:rsidRPr="004D5DA2" w:rsidRDefault="00B4380C" w:rsidP="002E45A2">
      <w:pPr>
        <w:pStyle w:val="ListParagraph"/>
        <w:numPr>
          <w:ilvl w:val="0"/>
          <w:numId w:val="4"/>
        </w:numPr>
        <w:spacing w:line="240" w:lineRule="auto"/>
        <w:rPr>
          <w:rFonts w:ascii="Book Antiqua" w:hAnsi="Book Antiqua"/>
          <w:b/>
        </w:rPr>
      </w:pPr>
      <w:r w:rsidRPr="004D5DA2">
        <w:rPr>
          <w:rFonts w:ascii="Book Antiqua" w:hAnsi="Book Antiqua"/>
        </w:rPr>
        <w:t xml:space="preserve">In 2002, the United States Supreme Court ruled in </w:t>
      </w:r>
      <w:r w:rsidRPr="004D5DA2">
        <w:rPr>
          <w:rFonts w:ascii="Book Antiqua" w:hAnsi="Book Antiqua"/>
          <w:i/>
        </w:rPr>
        <w:t xml:space="preserve">Atkins v. Virginia </w:t>
      </w:r>
      <w:r w:rsidRPr="004D5DA2">
        <w:rPr>
          <w:rFonts w:ascii="Book Antiqua" w:hAnsi="Book Antiqua"/>
        </w:rPr>
        <w:t>that the execution of individuals with intellectual disabilities was a violation of the Eighth Amendment’s protection against cruel and unusual punishment.</w:t>
      </w:r>
    </w:p>
    <w:p w14:paraId="7E42083B" w14:textId="77777777" w:rsidR="00147625" w:rsidRPr="00147625" w:rsidRDefault="00147625" w:rsidP="002E45A2">
      <w:pPr>
        <w:pStyle w:val="ListParagraph"/>
        <w:numPr>
          <w:ilvl w:val="0"/>
          <w:numId w:val="4"/>
        </w:numPr>
        <w:spacing w:line="240" w:lineRule="auto"/>
        <w:rPr>
          <w:rFonts w:ascii="Book Antiqua" w:hAnsi="Book Antiqua"/>
          <w:b/>
        </w:rPr>
      </w:pPr>
      <w:r w:rsidRPr="00147625">
        <w:rPr>
          <w:rFonts w:ascii="Book Antiqua" w:eastAsiaTheme="minorHAnsi" w:hAnsi="Book Antiqua" w:cs="Segoe UI"/>
          <w:color w:val="000000"/>
        </w:rPr>
        <w:t>The Court left it up to individual states to develop procedures for determining intellectual disability.</w:t>
      </w:r>
    </w:p>
    <w:p w14:paraId="4642C555" w14:textId="77777777" w:rsidR="00B4380C" w:rsidRPr="004D5DA2" w:rsidRDefault="00B4380C" w:rsidP="002E45A2">
      <w:pPr>
        <w:pStyle w:val="ListParagraph"/>
        <w:numPr>
          <w:ilvl w:val="0"/>
          <w:numId w:val="4"/>
        </w:numPr>
        <w:spacing w:line="240" w:lineRule="auto"/>
        <w:rPr>
          <w:rFonts w:ascii="Book Antiqua" w:hAnsi="Book Antiqua"/>
          <w:b/>
        </w:rPr>
      </w:pPr>
      <w:r w:rsidRPr="004D5DA2">
        <w:rPr>
          <w:rFonts w:ascii="Book Antiqua" w:hAnsi="Book Antiqua"/>
        </w:rPr>
        <w:t>In the Supreme Court’s 2014 decision</w:t>
      </w:r>
      <w:r w:rsidR="00474B65">
        <w:rPr>
          <w:rFonts w:ascii="Book Antiqua" w:hAnsi="Book Antiqua"/>
        </w:rPr>
        <w:t>,</w:t>
      </w:r>
      <w:r w:rsidRPr="004D5DA2">
        <w:rPr>
          <w:rFonts w:ascii="Book Antiqua" w:hAnsi="Book Antiqua"/>
        </w:rPr>
        <w:t xml:space="preserve"> in </w:t>
      </w:r>
      <w:r w:rsidRPr="004D5DA2">
        <w:rPr>
          <w:rFonts w:ascii="Book Antiqua" w:hAnsi="Book Antiqua"/>
          <w:i/>
        </w:rPr>
        <w:t xml:space="preserve">Hall v. Florida, </w:t>
      </w:r>
      <w:r w:rsidRPr="004D5DA2">
        <w:rPr>
          <w:rFonts w:ascii="Book Antiqua" w:hAnsi="Book Antiqua"/>
        </w:rPr>
        <w:t xml:space="preserve">the court ruled that medical standards must inform the state’s enforcement of </w:t>
      </w:r>
      <w:r w:rsidRPr="004D5DA2">
        <w:rPr>
          <w:rFonts w:ascii="Book Antiqua" w:hAnsi="Book Antiqua"/>
          <w:i/>
        </w:rPr>
        <w:t xml:space="preserve">Atkins </w:t>
      </w:r>
      <w:r w:rsidRPr="004D5DA2">
        <w:rPr>
          <w:rFonts w:ascii="Book Antiqua" w:hAnsi="Book Antiqua"/>
        </w:rPr>
        <w:t xml:space="preserve">protection. The court acknowledged that there was professional medical consensus as it related to intellectual disability and this must guide state law. </w:t>
      </w:r>
    </w:p>
    <w:p w14:paraId="0A991823" w14:textId="77777777" w:rsidR="00B4380C" w:rsidRPr="004D5DA2" w:rsidRDefault="00B4380C" w:rsidP="002E45A2">
      <w:pPr>
        <w:rPr>
          <w:rFonts w:ascii="Book Antiqua" w:hAnsi="Book Antiqua"/>
          <w:b/>
          <w:sz w:val="22"/>
          <w:szCs w:val="22"/>
        </w:rPr>
      </w:pPr>
      <w:r w:rsidRPr="004D5DA2">
        <w:rPr>
          <w:rFonts w:ascii="Book Antiqua" w:hAnsi="Book Antiqua"/>
          <w:b/>
          <w:sz w:val="22"/>
          <w:szCs w:val="22"/>
        </w:rPr>
        <w:t>Why this change is necessary:</w:t>
      </w:r>
    </w:p>
    <w:p w14:paraId="2E3FAA6B" w14:textId="77777777" w:rsidR="00B4380C" w:rsidRPr="004D5DA2" w:rsidRDefault="00B4380C" w:rsidP="002E45A2">
      <w:pPr>
        <w:pStyle w:val="ListParagraph"/>
        <w:numPr>
          <w:ilvl w:val="0"/>
          <w:numId w:val="1"/>
        </w:numPr>
        <w:spacing w:after="0" w:line="240" w:lineRule="auto"/>
        <w:rPr>
          <w:rFonts w:ascii="Book Antiqua" w:hAnsi="Book Antiqua"/>
          <w:u w:val="single"/>
        </w:rPr>
      </w:pPr>
      <w:r w:rsidRPr="004D5DA2">
        <w:rPr>
          <w:rFonts w:ascii="Book Antiqua" w:hAnsi="Book Antiqua"/>
        </w:rPr>
        <w:t>Georgia is the only state in the country that uses the most difficult standard of proof in order to meet the legal standard of Intellectual Disability (former</w:t>
      </w:r>
      <w:r w:rsidR="00474B65">
        <w:rPr>
          <w:rFonts w:ascii="Book Antiqua" w:hAnsi="Book Antiqua"/>
        </w:rPr>
        <w:t>ly called ‘mental retardation’),</w:t>
      </w:r>
      <w:r w:rsidRPr="004D5DA2">
        <w:rPr>
          <w:rFonts w:ascii="Book Antiqua" w:hAnsi="Book Antiqua"/>
        </w:rPr>
        <w:t xml:space="preserve"> “Beyond a reasonable doubt.”</w:t>
      </w:r>
    </w:p>
    <w:p w14:paraId="60D99804" w14:textId="44EA3E2F" w:rsidR="00B4380C" w:rsidRPr="000E2B40" w:rsidRDefault="00B4380C" w:rsidP="000E2B40">
      <w:pPr>
        <w:pStyle w:val="ListParagraph"/>
        <w:numPr>
          <w:ilvl w:val="0"/>
          <w:numId w:val="1"/>
        </w:numPr>
        <w:spacing w:after="0" w:line="240" w:lineRule="auto"/>
        <w:rPr>
          <w:rFonts w:ascii="Book Antiqua" w:hAnsi="Book Antiqua"/>
          <w:u w:val="single"/>
        </w:rPr>
      </w:pPr>
      <w:r w:rsidRPr="004D5DA2">
        <w:rPr>
          <w:rFonts w:ascii="Book Antiqua" w:hAnsi="Book Antiqua"/>
        </w:rPr>
        <w:t xml:space="preserve">This standard is an extremely difficult legal obstacle to overcome, and Georgia is an outlier in requiring it.  </w:t>
      </w:r>
    </w:p>
    <w:p w14:paraId="16A9C72B" w14:textId="77777777" w:rsidR="00B4380C" w:rsidRPr="004D5DA2" w:rsidRDefault="00B4380C" w:rsidP="002E45A2">
      <w:pPr>
        <w:pStyle w:val="ListParagraph"/>
        <w:numPr>
          <w:ilvl w:val="0"/>
          <w:numId w:val="1"/>
        </w:numPr>
        <w:spacing w:after="0" w:line="240" w:lineRule="auto"/>
        <w:rPr>
          <w:rFonts w:ascii="Book Antiqua" w:hAnsi="Book Antiqua"/>
          <w:u w:val="single"/>
        </w:rPr>
      </w:pPr>
      <w:r w:rsidRPr="004D5DA2">
        <w:rPr>
          <w:rFonts w:ascii="Book Antiqua" w:hAnsi="Book Antiqua"/>
          <w:u w:val="single"/>
        </w:rPr>
        <w:t xml:space="preserve">“Preponderance of the Evidence” is the only way to ensure that people with intellectual disability are not executed. </w:t>
      </w:r>
    </w:p>
    <w:p w14:paraId="0A4A7DD0" w14:textId="77777777" w:rsidR="00B4380C" w:rsidRPr="004D5DA2" w:rsidRDefault="00B4380C" w:rsidP="002E45A2">
      <w:pPr>
        <w:pStyle w:val="ListParagraph"/>
        <w:numPr>
          <w:ilvl w:val="0"/>
          <w:numId w:val="1"/>
        </w:numPr>
        <w:spacing w:after="0" w:line="240" w:lineRule="auto"/>
        <w:rPr>
          <w:rFonts w:ascii="Book Antiqua" w:hAnsi="Book Antiqua"/>
        </w:rPr>
      </w:pPr>
      <w:r w:rsidRPr="004D5DA2">
        <w:rPr>
          <w:rFonts w:ascii="Book Antiqua" w:hAnsi="Book Antiqua"/>
        </w:rPr>
        <w:t>Sound public policy would prioritize the protection of vulnerable people from wrongful execution</w:t>
      </w:r>
      <w:r w:rsidR="00147625">
        <w:rPr>
          <w:rFonts w:ascii="Book Antiqua" w:hAnsi="Book Antiqua"/>
        </w:rPr>
        <w:t>.</w:t>
      </w:r>
    </w:p>
    <w:p w14:paraId="66C94916" w14:textId="77777777" w:rsidR="00B4380C" w:rsidRDefault="00B4380C" w:rsidP="0070365D">
      <w:pPr>
        <w:pStyle w:val="ListParagraph"/>
        <w:numPr>
          <w:ilvl w:val="0"/>
          <w:numId w:val="1"/>
        </w:numPr>
        <w:spacing w:after="0" w:line="240" w:lineRule="auto"/>
        <w:rPr>
          <w:rFonts w:ascii="Book Antiqua" w:hAnsi="Book Antiqua"/>
        </w:rPr>
      </w:pPr>
      <w:r w:rsidRPr="004D5DA2">
        <w:rPr>
          <w:rFonts w:ascii="Book Antiqua" w:hAnsi="Book Antiqua"/>
        </w:rPr>
        <w:t>Governor Deal and the leadership in the legislature have the opportunity to do the right thing by changing this law.</w:t>
      </w:r>
    </w:p>
    <w:p w14:paraId="5E1D6899" w14:textId="77777777" w:rsidR="000E2B40" w:rsidRDefault="000E2B40" w:rsidP="000E2B40">
      <w:pPr>
        <w:rPr>
          <w:rFonts w:ascii="Book Antiqua" w:hAnsi="Book Antiqua"/>
        </w:rPr>
      </w:pPr>
    </w:p>
    <w:p w14:paraId="5C5CA925" w14:textId="77777777" w:rsidR="000E2B40" w:rsidRPr="000E2B40" w:rsidRDefault="000E2B40" w:rsidP="000E2B40">
      <w:pPr>
        <w:rPr>
          <w:rFonts w:ascii="Book Antiqua" w:hAnsi="Book Antiqua"/>
        </w:rPr>
      </w:pPr>
    </w:p>
    <w:p w14:paraId="5305B77E" w14:textId="77777777" w:rsidR="00B4380C" w:rsidRPr="004D5DA2" w:rsidRDefault="00B4380C" w:rsidP="002E45A2">
      <w:pPr>
        <w:rPr>
          <w:rFonts w:ascii="Book Antiqua" w:hAnsi="Book Antiqua"/>
          <w:b/>
          <w:sz w:val="22"/>
          <w:szCs w:val="22"/>
        </w:rPr>
      </w:pPr>
      <w:r w:rsidRPr="004D5DA2">
        <w:rPr>
          <w:rFonts w:ascii="Book Antiqua" w:hAnsi="Book Antiqua"/>
          <w:b/>
          <w:sz w:val="22"/>
          <w:szCs w:val="22"/>
        </w:rPr>
        <w:t>What it isn’t:</w:t>
      </w:r>
    </w:p>
    <w:p w14:paraId="1D5D4932" w14:textId="69D1D9F0" w:rsidR="00B4380C" w:rsidRPr="004D5DA2" w:rsidRDefault="00B4380C" w:rsidP="002E45A2">
      <w:pPr>
        <w:pStyle w:val="ListParagraph"/>
        <w:numPr>
          <w:ilvl w:val="0"/>
          <w:numId w:val="6"/>
        </w:numPr>
        <w:spacing w:line="240" w:lineRule="auto"/>
        <w:rPr>
          <w:rFonts w:ascii="Book Antiqua" w:hAnsi="Book Antiqua"/>
          <w:u w:val="single"/>
        </w:rPr>
      </w:pPr>
      <w:r w:rsidRPr="004D5DA2">
        <w:rPr>
          <w:rFonts w:ascii="Book Antiqua" w:hAnsi="Book Antiqua"/>
          <w:u w:val="single"/>
        </w:rPr>
        <w:t xml:space="preserve">It is important to realize that this would only apply to those facing the death penalty.  This bill will </w:t>
      </w:r>
      <w:r w:rsidRPr="004D5DA2">
        <w:rPr>
          <w:rFonts w:ascii="Book Antiqua" w:hAnsi="Book Antiqua"/>
          <w:b/>
          <w:u w:val="single"/>
        </w:rPr>
        <w:t xml:space="preserve">NOT </w:t>
      </w:r>
      <w:r w:rsidRPr="004D5DA2">
        <w:rPr>
          <w:rFonts w:ascii="Book Antiqua" w:hAnsi="Book Antiqua"/>
          <w:u w:val="single"/>
        </w:rPr>
        <w:t>apply to other felonies</w:t>
      </w:r>
      <w:r w:rsidR="00474B65">
        <w:rPr>
          <w:rFonts w:ascii="Book Antiqua" w:hAnsi="Book Antiqua"/>
          <w:u w:val="single"/>
        </w:rPr>
        <w:t>,</w:t>
      </w:r>
      <w:r w:rsidRPr="004D5DA2">
        <w:rPr>
          <w:rFonts w:ascii="Book Antiqua" w:hAnsi="Book Antiqua"/>
          <w:u w:val="single"/>
        </w:rPr>
        <w:t xml:space="preserve"> and it </w:t>
      </w:r>
      <w:bookmarkStart w:id="0" w:name="_GoBack"/>
      <w:bookmarkEnd w:id="0"/>
      <w:r w:rsidR="00147625">
        <w:rPr>
          <w:rFonts w:ascii="Book Antiqua" w:hAnsi="Book Antiqua"/>
          <w:u w:val="single"/>
        </w:rPr>
        <w:t xml:space="preserve">will not apply to anyone currently on death row. </w:t>
      </w:r>
      <w:r w:rsidRPr="004D5DA2">
        <w:rPr>
          <w:rFonts w:ascii="Book Antiqua" w:hAnsi="Book Antiqua"/>
          <w:u w:val="single"/>
        </w:rPr>
        <w:t xml:space="preserve"> </w:t>
      </w:r>
    </w:p>
    <w:p w14:paraId="1ECDD6A3" w14:textId="77777777" w:rsidR="00B4380C" w:rsidRPr="004D5DA2" w:rsidRDefault="00B4380C" w:rsidP="002E45A2">
      <w:pPr>
        <w:rPr>
          <w:rFonts w:ascii="Book Antiqua" w:hAnsi="Book Antiqua"/>
          <w:b/>
          <w:sz w:val="22"/>
          <w:szCs w:val="22"/>
        </w:rPr>
      </w:pPr>
      <w:r w:rsidRPr="004D5DA2">
        <w:rPr>
          <w:rFonts w:ascii="Book Antiqua" w:hAnsi="Book Antiqua"/>
          <w:b/>
          <w:sz w:val="22"/>
          <w:szCs w:val="22"/>
        </w:rPr>
        <w:t>Why Preponderance of the Evidence:</w:t>
      </w:r>
    </w:p>
    <w:p w14:paraId="59AFEC07" w14:textId="77777777" w:rsidR="00C33401" w:rsidRPr="004D5DA2" w:rsidRDefault="00B4380C" w:rsidP="00C33401">
      <w:pPr>
        <w:numPr>
          <w:ilvl w:val="0"/>
          <w:numId w:val="3"/>
        </w:numPr>
        <w:rPr>
          <w:rFonts w:ascii="Book Antiqua" w:hAnsi="Book Antiqua"/>
          <w:b/>
          <w:sz w:val="22"/>
          <w:szCs w:val="22"/>
        </w:rPr>
      </w:pPr>
      <w:r w:rsidRPr="004D5DA2">
        <w:rPr>
          <w:rFonts w:ascii="Book Antiqua" w:hAnsi="Book Antiqua" w:cs="Arial"/>
          <w:color w:val="000000"/>
          <w:sz w:val="22"/>
          <w:szCs w:val="22"/>
        </w:rPr>
        <w:t xml:space="preserve">Simply reducing the standard one step to “Clear and Convincing Evidence” will not ensure that no person with an intellectual disability will be executed because that standard of proof is still too stringent to provide sufficient guarantees, and only reduces that possibility slightly.  It does not eliminate it. </w:t>
      </w:r>
    </w:p>
    <w:p w14:paraId="4CFEA6F4" w14:textId="77777777" w:rsidR="00C33401" w:rsidRPr="004D5DA2" w:rsidRDefault="00B4380C" w:rsidP="00C33401">
      <w:pPr>
        <w:numPr>
          <w:ilvl w:val="0"/>
          <w:numId w:val="3"/>
        </w:numPr>
        <w:rPr>
          <w:rFonts w:ascii="Book Antiqua" w:hAnsi="Book Antiqua"/>
          <w:b/>
          <w:sz w:val="22"/>
          <w:szCs w:val="22"/>
        </w:rPr>
      </w:pPr>
      <w:r w:rsidRPr="004D5DA2">
        <w:rPr>
          <w:rFonts w:ascii="Book Antiqua" w:hAnsi="Book Antiqua" w:cs="Arial"/>
          <w:color w:val="000000"/>
          <w:sz w:val="22"/>
          <w:szCs w:val="22"/>
        </w:rPr>
        <w:t>Right now there are 5</w:t>
      </w:r>
      <w:r w:rsidR="00C33401" w:rsidRPr="004D5DA2">
        <w:rPr>
          <w:rFonts w:ascii="Book Antiqua" w:hAnsi="Book Antiqua" w:cs="Arial"/>
          <w:color w:val="000000"/>
          <w:sz w:val="22"/>
          <w:szCs w:val="22"/>
        </w:rPr>
        <w:t xml:space="preserve"> jurisdictions (Arizona, Colorado, Delaware, Florida and North Carolina)</w:t>
      </w:r>
      <w:r w:rsidR="00C33401" w:rsidRPr="004D5DA2">
        <w:rPr>
          <w:rFonts w:ascii="Book Antiqua" w:hAnsi="Book Antiqua"/>
          <w:b/>
          <w:sz w:val="22"/>
          <w:szCs w:val="22"/>
        </w:rPr>
        <w:t xml:space="preserve"> </w:t>
      </w:r>
      <w:r w:rsidR="00C33401" w:rsidRPr="004D5DA2">
        <w:rPr>
          <w:rFonts w:ascii="Book Antiqua" w:hAnsi="Book Antiqua" w:cs="Arial"/>
          <w:color w:val="000000"/>
          <w:sz w:val="22"/>
          <w:szCs w:val="22"/>
        </w:rPr>
        <w:t>using</w:t>
      </w:r>
      <w:r w:rsidRPr="004D5DA2">
        <w:rPr>
          <w:rFonts w:ascii="Book Antiqua" w:hAnsi="Book Antiqua" w:cs="Arial"/>
          <w:color w:val="000000"/>
          <w:sz w:val="22"/>
          <w:szCs w:val="22"/>
        </w:rPr>
        <w:t xml:space="preserve"> “Clear and Convincing” as their standard, and 22 using “Preponderance of the Evidence,” while Georgia is the outlier with “Beyond a Reasonable Doubt.</w:t>
      </w:r>
      <w:r w:rsidR="00172AF0" w:rsidRPr="004D5DA2">
        <w:rPr>
          <w:rFonts w:ascii="Book Antiqua" w:hAnsi="Book Antiqua" w:cs="Arial"/>
          <w:color w:val="000000"/>
          <w:sz w:val="22"/>
          <w:szCs w:val="22"/>
        </w:rPr>
        <w:t>” (Note:</w:t>
      </w:r>
      <w:r w:rsidR="00C33401" w:rsidRPr="004D5DA2">
        <w:rPr>
          <w:rFonts w:ascii="Book Antiqua" w:hAnsi="Book Antiqua" w:cs="Arial"/>
          <w:color w:val="000000"/>
          <w:sz w:val="22"/>
          <w:szCs w:val="22"/>
        </w:rPr>
        <w:t xml:space="preserve"> Kansas, Montana, New Hampshire, Oregon and Wyoming</w:t>
      </w:r>
      <w:r w:rsidR="00172AF0" w:rsidRPr="004D5DA2">
        <w:rPr>
          <w:rFonts w:ascii="Book Antiqua" w:hAnsi="Book Antiqua" w:cs="Arial"/>
          <w:color w:val="000000"/>
          <w:sz w:val="22"/>
          <w:szCs w:val="22"/>
        </w:rPr>
        <w:t xml:space="preserve"> do not have a specific standard of proof)</w:t>
      </w:r>
    </w:p>
    <w:p w14:paraId="6057B362" w14:textId="77777777" w:rsidR="00B4380C" w:rsidRPr="004D5DA2" w:rsidRDefault="00B4380C" w:rsidP="00C33401">
      <w:pPr>
        <w:numPr>
          <w:ilvl w:val="0"/>
          <w:numId w:val="2"/>
        </w:numPr>
        <w:rPr>
          <w:rFonts w:ascii="Book Antiqua" w:hAnsi="Book Antiqua"/>
          <w:b/>
          <w:bCs/>
          <w:sz w:val="22"/>
          <w:szCs w:val="22"/>
        </w:rPr>
      </w:pPr>
      <w:r w:rsidRPr="004D5DA2">
        <w:rPr>
          <w:rFonts w:ascii="Book Antiqua" w:hAnsi="Book Antiqua"/>
          <w:bCs/>
          <w:sz w:val="22"/>
          <w:szCs w:val="22"/>
        </w:rPr>
        <w:t xml:space="preserve">Other </w:t>
      </w:r>
      <w:r w:rsidR="00C33401" w:rsidRPr="004D5DA2">
        <w:rPr>
          <w:rFonts w:ascii="Book Antiqua" w:hAnsi="Book Antiqua"/>
          <w:bCs/>
          <w:sz w:val="22"/>
          <w:szCs w:val="22"/>
        </w:rPr>
        <w:t>jurisdictions</w:t>
      </w:r>
      <w:r w:rsidRPr="004D5DA2">
        <w:rPr>
          <w:rFonts w:ascii="Book Antiqua" w:hAnsi="Book Antiqua"/>
          <w:bCs/>
          <w:sz w:val="22"/>
          <w:szCs w:val="22"/>
        </w:rPr>
        <w:t xml:space="preserve"> using</w:t>
      </w:r>
      <w:r w:rsidR="00C33401" w:rsidRPr="004D5DA2">
        <w:rPr>
          <w:rFonts w:ascii="Book Antiqua" w:hAnsi="Book Antiqua"/>
          <w:bCs/>
          <w:sz w:val="22"/>
          <w:szCs w:val="22"/>
        </w:rPr>
        <w:t xml:space="preserve"> the</w:t>
      </w:r>
      <w:r w:rsidRPr="004D5DA2">
        <w:rPr>
          <w:rFonts w:ascii="Book Antiqua" w:hAnsi="Book Antiqua"/>
          <w:bCs/>
          <w:sz w:val="22"/>
          <w:szCs w:val="22"/>
        </w:rPr>
        <w:t xml:space="preserve"> “Preponderance of the Evidence” standard include</w:t>
      </w:r>
      <w:r w:rsidR="00C33401" w:rsidRPr="004D5DA2">
        <w:rPr>
          <w:rFonts w:ascii="Book Antiqua" w:hAnsi="Book Antiqua"/>
          <w:bCs/>
          <w:sz w:val="22"/>
          <w:szCs w:val="22"/>
        </w:rPr>
        <w:t xml:space="preserve">: Alabama, Arkansas, California, Idaho, Indiana, Kentucky, Louisiana, Mississippi, Missouri, Nebraska, Nevada, Ohio, Oklahoma, Pennsylvania, South Carolina, South Dakota, Tennessee, Texas, Utah, Virginia, Washington and the U.S. Federal Government. </w:t>
      </w:r>
    </w:p>
    <w:p w14:paraId="1F89A127" w14:textId="77777777" w:rsidR="00B4380C" w:rsidRPr="004D5DA2" w:rsidRDefault="00B4380C" w:rsidP="002E45A2">
      <w:pPr>
        <w:rPr>
          <w:rFonts w:ascii="Book Antiqua" w:hAnsi="Book Antiqua"/>
          <w:sz w:val="22"/>
          <w:szCs w:val="22"/>
        </w:rPr>
      </w:pPr>
    </w:p>
    <w:p w14:paraId="7DF813E1" w14:textId="77777777" w:rsidR="00B4380C" w:rsidRPr="004D5DA2" w:rsidRDefault="00B4380C" w:rsidP="002E45A2">
      <w:pPr>
        <w:rPr>
          <w:rFonts w:ascii="Book Antiqua" w:hAnsi="Book Antiqua"/>
          <w:b/>
          <w:sz w:val="22"/>
          <w:szCs w:val="22"/>
        </w:rPr>
      </w:pPr>
      <w:r w:rsidRPr="004D5DA2">
        <w:rPr>
          <w:rFonts w:ascii="Book Antiqua" w:hAnsi="Book Antiqua"/>
          <w:b/>
          <w:sz w:val="22"/>
          <w:szCs w:val="22"/>
        </w:rPr>
        <w:t>About the PAPE (Proof to a Preponderance of the Evidence) Project:</w:t>
      </w:r>
    </w:p>
    <w:p w14:paraId="311FA037" w14:textId="77777777" w:rsidR="00B4380C" w:rsidRPr="004D5DA2" w:rsidRDefault="00B4380C" w:rsidP="002E45A2">
      <w:pPr>
        <w:rPr>
          <w:rFonts w:ascii="Book Antiqua" w:hAnsi="Book Antiqua"/>
          <w:sz w:val="22"/>
          <w:szCs w:val="22"/>
        </w:rPr>
      </w:pPr>
      <w:r w:rsidRPr="004D5DA2">
        <w:rPr>
          <w:rFonts w:ascii="Book Antiqua" w:hAnsi="Book Antiqua"/>
          <w:sz w:val="22"/>
          <w:szCs w:val="22"/>
        </w:rPr>
        <w:t xml:space="preserve">The PAPE (Proof to a Preponderance of the Evidence) Project is a coalition led by the Georgia Council on Developmental Disabilities, Georgians for Alternatives to the Death Penalty, and Georgia Catholics </w:t>
      </w:r>
      <w:proofErr w:type="gramStart"/>
      <w:r w:rsidRPr="004D5DA2">
        <w:rPr>
          <w:rFonts w:ascii="Book Antiqua" w:hAnsi="Book Antiqua"/>
          <w:sz w:val="22"/>
          <w:szCs w:val="22"/>
        </w:rPr>
        <w:t>Against</w:t>
      </w:r>
      <w:proofErr w:type="gramEnd"/>
      <w:r w:rsidRPr="004D5DA2">
        <w:rPr>
          <w:rFonts w:ascii="Book Antiqua" w:hAnsi="Book Antiqua"/>
          <w:sz w:val="22"/>
          <w:szCs w:val="22"/>
        </w:rPr>
        <w:t xml:space="preserve"> the Death Penalty. The</w:t>
      </w:r>
      <w:r w:rsidR="00474B65">
        <w:rPr>
          <w:rFonts w:ascii="Book Antiqua" w:hAnsi="Book Antiqua"/>
          <w:sz w:val="22"/>
          <w:szCs w:val="22"/>
        </w:rPr>
        <w:t xml:space="preserve"> Coalition will advocate for a b</w:t>
      </w:r>
      <w:r w:rsidRPr="004D5DA2">
        <w:rPr>
          <w:rFonts w:ascii="Book Antiqua" w:hAnsi="Book Antiqua"/>
          <w:sz w:val="22"/>
          <w:szCs w:val="22"/>
        </w:rPr>
        <w:t>ill during the 2016 legislative session that will change the current standard of proof to the "Preponderance of the Evidence" in death penalty cases involving people with intellectual disabilities. </w:t>
      </w:r>
    </w:p>
    <w:p w14:paraId="25523307" w14:textId="77777777" w:rsidR="00B4380C" w:rsidRPr="004D5DA2" w:rsidRDefault="00B4380C" w:rsidP="002E45A2">
      <w:pPr>
        <w:rPr>
          <w:rFonts w:ascii="Book Antiqua" w:hAnsi="Book Antiqua"/>
          <w:sz w:val="22"/>
          <w:szCs w:val="22"/>
        </w:rPr>
      </w:pPr>
    </w:p>
    <w:p w14:paraId="5D7C4D3C" w14:textId="77777777" w:rsidR="00B4380C" w:rsidRDefault="00B4380C" w:rsidP="002E45A2">
      <w:pPr>
        <w:rPr>
          <w:rFonts w:ascii="Book Antiqua" w:hAnsi="Book Antiqua"/>
          <w:sz w:val="22"/>
          <w:szCs w:val="22"/>
        </w:rPr>
      </w:pPr>
      <w:r w:rsidRPr="004D5DA2">
        <w:rPr>
          <w:rFonts w:ascii="Book Antiqua" w:hAnsi="Book Antiqua"/>
          <w:sz w:val="22"/>
          <w:szCs w:val="22"/>
        </w:rPr>
        <w:t>For more information or to get involved, please contact:</w:t>
      </w:r>
    </w:p>
    <w:p w14:paraId="04ABF1C2" w14:textId="77777777" w:rsidR="004D5DA2" w:rsidRPr="004D5DA2" w:rsidRDefault="004D5DA2" w:rsidP="002E45A2">
      <w:pPr>
        <w:rPr>
          <w:rFonts w:ascii="Book Antiqua" w:hAnsi="Book Antiqua"/>
          <w:sz w:val="22"/>
          <w:szCs w:val="22"/>
        </w:rPr>
      </w:pPr>
    </w:p>
    <w:p w14:paraId="536655B9" w14:textId="77777777" w:rsidR="00B4380C" w:rsidRPr="004D5DA2" w:rsidRDefault="00B4380C" w:rsidP="002E45A2">
      <w:pPr>
        <w:rPr>
          <w:rFonts w:ascii="Book Antiqua" w:hAnsi="Book Antiqua"/>
          <w:sz w:val="22"/>
          <w:szCs w:val="22"/>
        </w:rPr>
      </w:pPr>
      <w:r w:rsidRPr="004D5DA2">
        <w:rPr>
          <w:rFonts w:ascii="Book Antiqua" w:hAnsi="Book Antiqua"/>
          <w:sz w:val="22"/>
          <w:szCs w:val="22"/>
        </w:rPr>
        <w:t>Georgians for Alternatives to the Death Penalty</w:t>
      </w:r>
    </w:p>
    <w:p w14:paraId="17F38788" w14:textId="77777777" w:rsidR="00B4380C" w:rsidRPr="004D5DA2" w:rsidRDefault="008D6902" w:rsidP="002E45A2">
      <w:pPr>
        <w:rPr>
          <w:rStyle w:val="Hyperlink"/>
          <w:rFonts w:ascii="Book Antiqua" w:hAnsi="Book Antiqua"/>
          <w:sz w:val="22"/>
          <w:szCs w:val="22"/>
        </w:rPr>
      </w:pPr>
      <w:hyperlink r:id="rId10" w:history="1">
        <w:r w:rsidR="00B4380C" w:rsidRPr="004D5DA2">
          <w:rPr>
            <w:rStyle w:val="Hyperlink"/>
            <w:rFonts w:ascii="Book Antiqua" w:hAnsi="Book Antiqua"/>
            <w:sz w:val="22"/>
            <w:szCs w:val="22"/>
          </w:rPr>
          <w:t>http://www.gfadp.org</w:t>
        </w:r>
      </w:hyperlink>
    </w:p>
    <w:p w14:paraId="74A32067" w14:textId="77777777" w:rsidR="00BB5728" w:rsidRPr="004D5DA2" w:rsidRDefault="008D6902" w:rsidP="002E45A2">
      <w:pPr>
        <w:rPr>
          <w:rFonts w:ascii="Book Antiqua" w:hAnsi="Book Antiqua"/>
          <w:sz w:val="22"/>
          <w:szCs w:val="22"/>
        </w:rPr>
      </w:pPr>
      <w:hyperlink r:id="rId11" w:history="1">
        <w:r w:rsidR="00BB5728" w:rsidRPr="004D5DA2">
          <w:rPr>
            <w:rStyle w:val="Hyperlink"/>
            <w:rFonts w:ascii="Book Antiqua" w:hAnsi="Book Antiqua"/>
            <w:sz w:val="22"/>
            <w:szCs w:val="22"/>
          </w:rPr>
          <w:t>info@gfadp.org</w:t>
        </w:r>
      </w:hyperlink>
      <w:r w:rsidR="00BB5728" w:rsidRPr="004D5DA2">
        <w:rPr>
          <w:rStyle w:val="Hyperlink"/>
          <w:rFonts w:ascii="Book Antiqua" w:hAnsi="Book Antiqua"/>
          <w:sz w:val="22"/>
          <w:szCs w:val="22"/>
        </w:rPr>
        <w:t xml:space="preserve"> </w:t>
      </w:r>
    </w:p>
    <w:p w14:paraId="311F11DF" w14:textId="77777777" w:rsidR="00FB3FA4" w:rsidRPr="004D5DA2" w:rsidRDefault="00FB3FA4" w:rsidP="002E45A2">
      <w:pPr>
        <w:rPr>
          <w:rFonts w:ascii="Book Antiqua" w:hAnsi="Book Antiqua"/>
          <w:sz w:val="22"/>
          <w:szCs w:val="22"/>
        </w:rPr>
      </w:pPr>
      <w:r w:rsidRPr="004D5DA2">
        <w:rPr>
          <w:rFonts w:ascii="Book Antiqua" w:hAnsi="Book Antiqua"/>
          <w:sz w:val="22"/>
          <w:szCs w:val="22"/>
        </w:rPr>
        <w:t>(404) 749-6889</w:t>
      </w:r>
    </w:p>
    <w:p w14:paraId="0FFD54A2" w14:textId="77777777" w:rsidR="004D5DA2" w:rsidRPr="004D5DA2" w:rsidRDefault="004D5DA2" w:rsidP="002E45A2">
      <w:pPr>
        <w:rPr>
          <w:rFonts w:ascii="Book Antiqua" w:hAnsi="Book Antiqua"/>
          <w:sz w:val="22"/>
          <w:szCs w:val="22"/>
        </w:rPr>
      </w:pPr>
    </w:p>
    <w:p w14:paraId="04A47C4F" w14:textId="77777777" w:rsidR="00B4380C" w:rsidRPr="004D5DA2" w:rsidRDefault="00B4380C" w:rsidP="002E45A2">
      <w:pPr>
        <w:rPr>
          <w:rFonts w:ascii="Book Antiqua" w:hAnsi="Book Antiqua"/>
          <w:sz w:val="22"/>
          <w:szCs w:val="22"/>
        </w:rPr>
      </w:pPr>
      <w:r w:rsidRPr="004D5DA2">
        <w:rPr>
          <w:rFonts w:ascii="Book Antiqua" w:hAnsi="Book Antiqua"/>
          <w:sz w:val="22"/>
          <w:szCs w:val="22"/>
        </w:rPr>
        <w:t>Georgia Council on Developmental Disabilities</w:t>
      </w:r>
    </w:p>
    <w:p w14:paraId="354191AE" w14:textId="77777777" w:rsidR="00B4380C" w:rsidRPr="004D5DA2" w:rsidRDefault="008D6902" w:rsidP="002E45A2">
      <w:pPr>
        <w:rPr>
          <w:rFonts w:ascii="Book Antiqua" w:hAnsi="Book Antiqua"/>
          <w:sz w:val="22"/>
          <w:szCs w:val="22"/>
        </w:rPr>
      </w:pPr>
      <w:hyperlink r:id="rId12" w:history="1">
        <w:r w:rsidR="00B4380C" w:rsidRPr="004D5DA2">
          <w:rPr>
            <w:rStyle w:val="Hyperlink"/>
            <w:rFonts w:ascii="Book Antiqua" w:hAnsi="Book Antiqua"/>
            <w:sz w:val="22"/>
            <w:szCs w:val="22"/>
          </w:rPr>
          <w:t>http://www.gcdd.org</w:t>
        </w:r>
      </w:hyperlink>
    </w:p>
    <w:p w14:paraId="2F7E95C8" w14:textId="77777777" w:rsidR="00B4380C" w:rsidRPr="004D5DA2" w:rsidRDefault="00B4380C" w:rsidP="002E45A2">
      <w:pPr>
        <w:rPr>
          <w:rFonts w:ascii="Book Antiqua" w:hAnsi="Book Antiqua"/>
          <w:sz w:val="22"/>
          <w:szCs w:val="22"/>
        </w:rPr>
      </w:pPr>
      <w:r w:rsidRPr="004D5DA2">
        <w:rPr>
          <w:rFonts w:ascii="Book Antiqua" w:hAnsi="Book Antiqua"/>
          <w:sz w:val="22"/>
          <w:szCs w:val="22"/>
        </w:rPr>
        <w:t xml:space="preserve">(404) 657-2126 </w:t>
      </w:r>
    </w:p>
    <w:p w14:paraId="2644DDC5" w14:textId="77777777" w:rsidR="004D5DA2" w:rsidRPr="004D5DA2" w:rsidRDefault="004D5DA2" w:rsidP="002E45A2">
      <w:pPr>
        <w:rPr>
          <w:rFonts w:eastAsia="Times New Roman"/>
          <w:sz w:val="22"/>
          <w:szCs w:val="22"/>
        </w:rPr>
      </w:pPr>
    </w:p>
    <w:p w14:paraId="3AFC8650" w14:textId="77777777" w:rsidR="00B4380C" w:rsidRPr="004D5DA2" w:rsidRDefault="00B4380C" w:rsidP="002E45A2">
      <w:pPr>
        <w:rPr>
          <w:rFonts w:ascii="Book Antiqua" w:hAnsi="Book Antiqua"/>
          <w:sz w:val="22"/>
          <w:szCs w:val="22"/>
        </w:rPr>
      </w:pPr>
      <w:r w:rsidRPr="004D5DA2">
        <w:rPr>
          <w:rFonts w:ascii="Book Antiqua" w:hAnsi="Book Antiqua"/>
          <w:sz w:val="22"/>
          <w:szCs w:val="22"/>
        </w:rPr>
        <w:t xml:space="preserve">Georgia Catholics </w:t>
      </w:r>
      <w:proofErr w:type="gramStart"/>
      <w:r w:rsidRPr="004D5DA2">
        <w:rPr>
          <w:rFonts w:ascii="Book Antiqua" w:hAnsi="Book Antiqua"/>
          <w:sz w:val="22"/>
          <w:szCs w:val="22"/>
        </w:rPr>
        <w:t>Against</w:t>
      </w:r>
      <w:proofErr w:type="gramEnd"/>
      <w:r w:rsidRPr="004D5DA2">
        <w:rPr>
          <w:rFonts w:ascii="Book Antiqua" w:hAnsi="Book Antiqua"/>
          <w:sz w:val="22"/>
          <w:szCs w:val="22"/>
        </w:rPr>
        <w:t xml:space="preserve"> the Death Penalty</w:t>
      </w:r>
    </w:p>
    <w:p w14:paraId="04B98A4D" w14:textId="77777777" w:rsidR="00B4380C" w:rsidRPr="004D5DA2" w:rsidRDefault="008D6902" w:rsidP="002E45A2">
      <w:pPr>
        <w:rPr>
          <w:rFonts w:ascii="Book Antiqua" w:hAnsi="Book Antiqua"/>
          <w:sz w:val="22"/>
          <w:szCs w:val="22"/>
        </w:rPr>
      </w:pPr>
      <w:hyperlink r:id="rId13" w:history="1">
        <w:r w:rsidR="00B4380C" w:rsidRPr="004D5DA2">
          <w:rPr>
            <w:rStyle w:val="Hyperlink"/>
            <w:rFonts w:ascii="Book Antiqua" w:hAnsi="Book Antiqua"/>
            <w:sz w:val="22"/>
            <w:szCs w:val="22"/>
          </w:rPr>
          <w:t>http://www.gacadp.org/</w:t>
        </w:r>
      </w:hyperlink>
    </w:p>
    <w:p w14:paraId="5CFB5A47" w14:textId="77777777" w:rsidR="00B4380C" w:rsidRPr="004D5DA2" w:rsidRDefault="008D6902" w:rsidP="002E45A2">
      <w:pPr>
        <w:rPr>
          <w:rFonts w:ascii="Book Antiqua" w:hAnsi="Book Antiqua"/>
          <w:sz w:val="22"/>
          <w:szCs w:val="22"/>
        </w:rPr>
      </w:pPr>
      <w:hyperlink r:id="rId14" w:history="1">
        <w:r w:rsidR="00B4380C" w:rsidRPr="004D5DA2">
          <w:rPr>
            <w:rStyle w:val="Hyperlink"/>
            <w:rFonts w:ascii="Book Antiqua" w:hAnsi="Book Antiqua"/>
            <w:sz w:val="22"/>
            <w:szCs w:val="22"/>
          </w:rPr>
          <w:t>info@gacadp.org</w:t>
        </w:r>
      </w:hyperlink>
    </w:p>
    <w:p w14:paraId="31C33960" w14:textId="77777777" w:rsidR="00291525" w:rsidRPr="004D5DA2" w:rsidRDefault="00B4380C" w:rsidP="002E45A2">
      <w:pPr>
        <w:rPr>
          <w:rFonts w:ascii="Book Antiqua" w:hAnsi="Book Antiqua"/>
          <w:sz w:val="22"/>
          <w:szCs w:val="22"/>
        </w:rPr>
      </w:pPr>
      <w:r w:rsidRPr="004D5DA2">
        <w:rPr>
          <w:rFonts w:ascii="Book Antiqua" w:hAnsi="Book Antiqua"/>
          <w:sz w:val="22"/>
          <w:szCs w:val="22"/>
        </w:rPr>
        <w:t>(404) 920-7357</w:t>
      </w:r>
    </w:p>
    <w:sectPr w:rsidR="00291525" w:rsidRPr="004D5DA2">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E324" w15:done="0"/>
  <w15:commentEx w15:paraId="0B9BE3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79116" w14:textId="77777777" w:rsidR="008D6902" w:rsidRDefault="008D6902" w:rsidP="00E97E26">
      <w:r>
        <w:separator/>
      </w:r>
    </w:p>
  </w:endnote>
  <w:endnote w:type="continuationSeparator" w:id="0">
    <w:p w14:paraId="4F1AD249" w14:textId="77777777" w:rsidR="008D6902" w:rsidRDefault="008D6902" w:rsidP="00E9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C6B21" w14:textId="77777777" w:rsidR="00542DB9" w:rsidRPr="00542DB9" w:rsidRDefault="00542DB9" w:rsidP="00542DB9">
    <w:pPr>
      <w:rPr>
        <w:rFonts w:ascii="Book Antiqua" w:hAnsi="Book Antiqua"/>
        <w:b/>
        <w:sz w:val="22"/>
        <w:szCs w:val="22"/>
      </w:rPr>
    </w:pPr>
    <w:r w:rsidRPr="00542DB9">
      <w:rPr>
        <w:rFonts w:ascii="Book Antiqua" w:hAnsi="Book Antiqua"/>
        <w:b/>
        <w:sz w:val="22"/>
        <w:szCs w:val="22"/>
      </w:rPr>
      <w:t>The PAPE (Proof to A Preponderance of the Evidence) Project</w:t>
    </w:r>
  </w:p>
  <w:p w14:paraId="1526B612" w14:textId="77777777" w:rsidR="00542DB9" w:rsidRDefault="00542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E413F" w14:textId="77777777" w:rsidR="008D6902" w:rsidRDefault="008D6902" w:rsidP="00E97E26">
      <w:r>
        <w:separator/>
      </w:r>
    </w:p>
  </w:footnote>
  <w:footnote w:type="continuationSeparator" w:id="0">
    <w:p w14:paraId="5DA3C5A0" w14:textId="77777777" w:rsidR="008D6902" w:rsidRDefault="008D6902" w:rsidP="00E97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6E87"/>
    <w:multiLevelType w:val="hybridMultilevel"/>
    <w:tmpl w:val="DAFA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A455F"/>
    <w:multiLevelType w:val="hybridMultilevel"/>
    <w:tmpl w:val="2E6A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B0AA0"/>
    <w:multiLevelType w:val="hybridMultilevel"/>
    <w:tmpl w:val="A766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03D2C"/>
    <w:multiLevelType w:val="hybridMultilevel"/>
    <w:tmpl w:val="1C06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FD1116"/>
    <w:multiLevelType w:val="hybridMultilevel"/>
    <w:tmpl w:val="6932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8B6CB9"/>
    <w:multiLevelType w:val="hybridMultilevel"/>
    <w:tmpl w:val="2A66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74BA3"/>
    <w:multiLevelType w:val="hybridMultilevel"/>
    <w:tmpl w:val="D71CEA32"/>
    <w:lvl w:ilvl="0" w:tplc="06E6FB3A">
      <w:start w:val="1"/>
      <w:numFmt w:val="bullet"/>
      <w:lvlText w:val="•"/>
      <w:lvlJc w:val="left"/>
      <w:pPr>
        <w:tabs>
          <w:tab w:val="num" w:pos="720"/>
        </w:tabs>
        <w:ind w:left="720" w:hanging="360"/>
      </w:pPr>
      <w:rPr>
        <w:rFonts w:ascii="Arial" w:hAnsi="Arial" w:hint="default"/>
      </w:rPr>
    </w:lvl>
    <w:lvl w:ilvl="1" w:tplc="A854274E" w:tentative="1">
      <w:start w:val="1"/>
      <w:numFmt w:val="bullet"/>
      <w:lvlText w:val="•"/>
      <w:lvlJc w:val="left"/>
      <w:pPr>
        <w:tabs>
          <w:tab w:val="num" w:pos="1440"/>
        </w:tabs>
        <w:ind w:left="1440" w:hanging="360"/>
      </w:pPr>
      <w:rPr>
        <w:rFonts w:ascii="Arial" w:hAnsi="Arial" w:hint="default"/>
      </w:rPr>
    </w:lvl>
    <w:lvl w:ilvl="2" w:tplc="5AEC947E" w:tentative="1">
      <w:start w:val="1"/>
      <w:numFmt w:val="bullet"/>
      <w:lvlText w:val="•"/>
      <w:lvlJc w:val="left"/>
      <w:pPr>
        <w:tabs>
          <w:tab w:val="num" w:pos="2160"/>
        </w:tabs>
        <w:ind w:left="2160" w:hanging="360"/>
      </w:pPr>
      <w:rPr>
        <w:rFonts w:ascii="Arial" w:hAnsi="Arial" w:hint="default"/>
      </w:rPr>
    </w:lvl>
    <w:lvl w:ilvl="3" w:tplc="15E8D3E2" w:tentative="1">
      <w:start w:val="1"/>
      <w:numFmt w:val="bullet"/>
      <w:lvlText w:val="•"/>
      <w:lvlJc w:val="left"/>
      <w:pPr>
        <w:tabs>
          <w:tab w:val="num" w:pos="2880"/>
        </w:tabs>
        <w:ind w:left="2880" w:hanging="360"/>
      </w:pPr>
      <w:rPr>
        <w:rFonts w:ascii="Arial" w:hAnsi="Arial" w:hint="default"/>
      </w:rPr>
    </w:lvl>
    <w:lvl w:ilvl="4" w:tplc="09BAA36A" w:tentative="1">
      <w:start w:val="1"/>
      <w:numFmt w:val="bullet"/>
      <w:lvlText w:val="•"/>
      <w:lvlJc w:val="left"/>
      <w:pPr>
        <w:tabs>
          <w:tab w:val="num" w:pos="3600"/>
        </w:tabs>
        <w:ind w:left="3600" w:hanging="360"/>
      </w:pPr>
      <w:rPr>
        <w:rFonts w:ascii="Arial" w:hAnsi="Arial" w:hint="default"/>
      </w:rPr>
    </w:lvl>
    <w:lvl w:ilvl="5" w:tplc="A5B814BA" w:tentative="1">
      <w:start w:val="1"/>
      <w:numFmt w:val="bullet"/>
      <w:lvlText w:val="•"/>
      <w:lvlJc w:val="left"/>
      <w:pPr>
        <w:tabs>
          <w:tab w:val="num" w:pos="4320"/>
        </w:tabs>
        <w:ind w:left="4320" w:hanging="360"/>
      </w:pPr>
      <w:rPr>
        <w:rFonts w:ascii="Arial" w:hAnsi="Arial" w:hint="default"/>
      </w:rPr>
    </w:lvl>
    <w:lvl w:ilvl="6" w:tplc="81F86E5A" w:tentative="1">
      <w:start w:val="1"/>
      <w:numFmt w:val="bullet"/>
      <w:lvlText w:val="•"/>
      <w:lvlJc w:val="left"/>
      <w:pPr>
        <w:tabs>
          <w:tab w:val="num" w:pos="5040"/>
        </w:tabs>
        <w:ind w:left="5040" w:hanging="360"/>
      </w:pPr>
      <w:rPr>
        <w:rFonts w:ascii="Arial" w:hAnsi="Arial" w:hint="default"/>
      </w:rPr>
    </w:lvl>
    <w:lvl w:ilvl="7" w:tplc="CB2C09E6" w:tentative="1">
      <w:start w:val="1"/>
      <w:numFmt w:val="bullet"/>
      <w:lvlText w:val="•"/>
      <w:lvlJc w:val="left"/>
      <w:pPr>
        <w:tabs>
          <w:tab w:val="num" w:pos="5760"/>
        </w:tabs>
        <w:ind w:left="5760" w:hanging="360"/>
      </w:pPr>
      <w:rPr>
        <w:rFonts w:ascii="Arial" w:hAnsi="Arial" w:hint="default"/>
      </w:rPr>
    </w:lvl>
    <w:lvl w:ilvl="8" w:tplc="301603B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ryn Hamoudah">
    <w15:presenceInfo w15:providerId="AD" w15:userId="S-1-5-21-1478590073-1077356566-1539857752-1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71"/>
    <w:rsid w:val="00087F22"/>
    <w:rsid w:val="000E2B40"/>
    <w:rsid w:val="00147625"/>
    <w:rsid w:val="00156909"/>
    <w:rsid w:val="00165705"/>
    <w:rsid w:val="00172AF0"/>
    <w:rsid w:val="001B7772"/>
    <w:rsid w:val="001E0D5E"/>
    <w:rsid w:val="00291525"/>
    <w:rsid w:val="0029711C"/>
    <w:rsid w:val="002E0AFE"/>
    <w:rsid w:val="002E45A2"/>
    <w:rsid w:val="00335E6A"/>
    <w:rsid w:val="003A6AEE"/>
    <w:rsid w:val="004139E6"/>
    <w:rsid w:val="00437DE2"/>
    <w:rsid w:val="00474B65"/>
    <w:rsid w:val="004A0959"/>
    <w:rsid w:val="004B5C31"/>
    <w:rsid w:val="004D5DA2"/>
    <w:rsid w:val="0050316B"/>
    <w:rsid w:val="005139DA"/>
    <w:rsid w:val="00527A78"/>
    <w:rsid w:val="005318C1"/>
    <w:rsid w:val="00542DB9"/>
    <w:rsid w:val="00565FEC"/>
    <w:rsid w:val="00587314"/>
    <w:rsid w:val="005B05AC"/>
    <w:rsid w:val="005B4C90"/>
    <w:rsid w:val="006063A5"/>
    <w:rsid w:val="0066055B"/>
    <w:rsid w:val="00685084"/>
    <w:rsid w:val="006C2271"/>
    <w:rsid w:val="0070365D"/>
    <w:rsid w:val="00710C2C"/>
    <w:rsid w:val="007B717F"/>
    <w:rsid w:val="00894A04"/>
    <w:rsid w:val="008D6902"/>
    <w:rsid w:val="00902C9B"/>
    <w:rsid w:val="00981EAE"/>
    <w:rsid w:val="00994C2B"/>
    <w:rsid w:val="009A3101"/>
    <w:rsid w:val="009F1EBD"/>
    <w:rsid w:val="00A7463E"/>
    <w:rsid w:val="00A86A13"/>
    <w:rsid w:val="00AF0193"/>
    <w:rsid w:val="00B34B7E"/>
    <w:rsid w:val="00B4380C"/>
    <w:rsid w:val="00B4728C"/>
    <w:rsid w:val="00BB5728"/>
    <w:rsid w:val="00C33401"/>
    <w:rsid w:val="00C44016"/>
    <w:rsid w:val="00C71D07"/>
    <w:rsid w:val="00D07A13"/>
    <w:rsid w:val="00D23103"/>
    <w:rsid w:val="00D53A68"/>
    <w:rsid w:val="00DC71C8"/>
    <w:rsid w:val="00E27EB5"/>
    <w:rsid w:val="00E32AFA"/>
    <w:rsid w:val="00E72EE4"/>
    <w:rsid w:val="00E84EA4"/>
    <w:rsid w:val="00E97E26"/>
    <w:rsid w:val="00F0723C"/>
    <w:rsid w:val="00F14B44"/>
    <w:rsid w:val="00F25C2F"/>
    <w:rsid w:val="00FB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71"/>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97E2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271"/>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unhideWhenUsed/>
    <w:rsid w:val="00E97E26"/>
    <w:rPr>
      <w:sz w:val="20"/>
      <w:szCs w:val="20"/>
    </w:rPr>
  </w:style>
  <w:style w:type="character" w:customStyle="1" w:styleId="EndnoteTextChar">
    <w:name w:val="Endnote Text Char"/>
    <w:basedOn w:val="DefaultParagraphFont"/>
    <w:link w:val="EndnoteText"/>
    <w:uiPriority w:val="99"/>
    <w:semiHidden/>
    <w:rsid w:val="00E97E26"/>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E97E26"/>
    <w:rPr>
      <w:vertAlign w:val="superscript"/>
    </w:rPr>
  </w:style>
  <w:style w:type="character" w:customStyle="1" w:styleId="Heading1Char">
    <w:name w:val="Heading 1 Char"/>
    <w:basedOn w:val="DefaultParagraphFont"/>
    <w:link w:val="Heading1"/>
    <w:uiPriority w:val="9"/>
    <w:rsid w:val="00E97E26"/>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E97E26"/>
    <w:rPr>
      <w:rFonts w:ascii="Tahoma" w:hAnsi="Tahoma" w:cs="Tahoma"/>
      <w:sz w:val="16"/>
      <w:szCs w:val="16"/>
    </w:rPr>
  </w:style>
  <w:style w:type="character" w:customStyle="1" w:styleId="BalloonTextChar">
    <w:name w:val="Balloon Text Char"/>
    <w:basedOn w:val="DefaultParagraphFont"/>
    <w:link w:val="BalloonText"/>
    <w:uiPriority w:val="99"/>
    <w:semiHidden/>
    <w:rsid w:val="00E97E26"/>
    <w:rPr>
      <w:rFonts w:ascii="Tahoma" w:eastAsia="Calibri" w:hAnsi="Tahoma" w:cs="Tahoma"/>
      <w:sz w:val="16"/>
      <w:szCs w:val="16"/>
    </w:rPr>
  </w:style>
  <w:style w:type="character" w:styleId="Emphasis">
    <w:name w:val="Emphasis"/>
    <w:basedOn w:val="DefaultParagraphFont"/>
    <w:uiPriority w:val="20"/>
    <w:qFormat/>
    <w:rsid w:val="00E97E26"/>
    <w:rPr>
      <w:i/>
      <w:iCs/>
    </w:rPr>
  </w:style>
  <w:style w:type="character" w:styleId="Strong">
    <w:name w:val="Strong"/>
    <w:basedOn w:val="DefaultParagraphFont"/>
    <w:uiPriority w:val="22"/>
    <w:qFormat/>
    <w:rsid w:val="00E97E26"/>
    <w:rPr>
      <w:b/>
      <w:bCs/>
    </w:rPr>
  </w:style>
  <w:style w:type="paragraph" w:styleId="Bibliography">
    <w:name w:val="Bibliography"/>
    <w:basedOn w:val="Normal"/>
    <w:next w:val="Normal"/>
    <w:uiPriority w:val="37"/>
    <w:unhideWhenUsed/>
    <w:rsid w:val="00E97E26"/>
  </w:style>
  <w:style w:type="paragraph" w:styleId="Header">
    <w:name w:val="header"/>
    <w:basedOn w:val="Normal"/>
    <w:link w:val="HeaderChar"/>
    <w:uiPriority w:val="99"/>
    <w:unhideWhenUsed/>
    <w:rsid w:val="00542DB9"/>
    <w:pPr>
      <w:tabs>
        <w:tab w:val="center" w:pos="4680"/>
        <w:tab w:val="right" w:pos="9360"/>
      </w:tabs>
    </w:pPr>
  </w:style>
  <w:style w:type="character" w:customStyle="1" w:styleId="HeaderChar">
    <w:name w:val="Header Char"/>
    <w:basedOn w:val="DefaultParagraphFont"/>
    <w:link w:val="Header"/>
    <w:uiPriority w:val="99"/>
    <w:rsid w:val="00542DB9"/>
    <w:rPr>
      <w:rFonts w:ascii="Times New Roman" w:eastAsia="Calibri" w:hAnsi="Times New Roman" w:cs="Times New Roman"/>
      <w:sz w:val="24"/>
      <w:szCs w:val="24"/>
    </w:rPr>
  </w:style>
  <w:style w:type="paragraph" w:styleId="Footer">
    <w:name w:val="footer"/>
    <w:basedOn w:val="Normal"/>
    <w:link w:val="FooterChar"/>
    <w:uiPriority w:val="99"/>
    <w:unhideWhenUsed/>
    <w:rsid w:val="00542DB9"/>
    <w:pPr>
      <w:tabs>
        <w:tab w:val="center" w:pos="4680"/>
        <w:tab w:val="right" w:pos="9360"/>
      </w:tabs>
    </w:pPr>
  </w:style>
  <w:style w:type="character" w:customStyle="1" w:styleId="FooterChar">
    <w:name w:val="Footer Char"/>
    <w:basedOn w:val="DefaultParagraphFont"/>
    <w:link w:val="Footer"/>
    <w:uiPriority w:val="99"/>
    <w:rsid w:val="00542DB9"/>
    <w:rPr>
      <w:rFonts w:ascii="Times New Roman" w:eastAsia="Calibri" w:hAnsi="Times New Roman" w:cs="Times New Roman"/>
      <w:sz w:val="24"/>
      <w:szCs w:val="24"/>
    </w:rPr>
  </w:style>
  <w:style w:type="character" w:styleId="Hyperlink">
    <w:name w:val="Hyperlink"/>
    <w:basedOn w:val="DefaultParagraphFont"/>
    <w:uiPriority w:val="99"/>
    <w:unhideWhenUsed/>
    <w:rsid w:val="00291525"/>
    <w:rPr>
      <w:color w:val="0000FF" w:themeColor="hyperlink"/>
      <w:u w:val="single"/>
    </w:rPr>
  </w:style>
  <w:style w:type="character" w:styleId="CommentReference">
    <w:name w:val="annotation reference"/>
    <w:basedOn w:val="DefaultParagraphFont"/>
    <w:uiPriority w:val="99"/>
    <w:semiHidden/>
    <w:unhideWhenUsed/>
    <w:rsid w:val="00147625"/>
    <w:rPr>
      <w:sz w:val="16"/>
      <w:szCs w:val="16"/>
    </w:rPr>
  </w:style>
  <w:style w:type="paragraph" w:styleId="CommentText">
    <w:name w:val="annotation text"/>
    <w:basedOn w:val="Normal"/>
    <w:link w:val="CommentTextChar"/>
    <w:uiPriority w:val="99"/>
    <w:semiHidden/>
    <w:unhideWhenUsed/>
    <w:rsid w:val="00147625"/>
    <w:rPr>
      <w:sz w:val="20"/>
      <w:szCs w:val="20"/>
    </w:rPr>
  </w:style>
  <w:style w:type="character" w:customStyle="1" w:styleId="CommentTextChar">
    <w:name w:val="Comment Text Char"/>
    <w:basedOn w:val="DefaultParagraphFont"/>
    <w:link w:val="CommentText"/>
    <w:uiPriority w:val="99"/>
    <w:semiHidden/>
    <w:rsid w:val="0014762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7625"/>
    <w:rPr>
      <w:b/>
      <w:bCs/>
    </w:rPr>
  </w:style>
  <w:style w:type="character" w:customStyle="1" w:styleId="CommentSubjectChar">
    <w:name w:val="Comment Subject Char"/>
    <w:basedOn w:val="CommentTextChar"/>
    <w:link w:val="CommentSubject"/>
    <w:uiPriority w:val="99"/>
    <w:semiHidden/>
    <w:rsid w:val="00147625"/>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71"/>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97E2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271"/>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unhideWhenUsed/>
    <w:rsid w:val="00E97E26"/>
    <w:rPr>
      <w:sz w:val="20"/>
      <w:szCs w:val="20"/>
    </w:rPr>
  </w:style>
  <w:style w:type="character" w:customStyle="1" w:styleId="EndnoteTextChar">
    <w:name w:val="Endnote Text Char"/>
    <w:basedOn w:val="DefaultParagraphFont"/>
    <w:link w:val="EndnoteText"/>
    <w:uiPriority w:val="99"/>
    <w:semiHidden/>
    <w:rsid w:val="00E97E26"/>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E97E26"/>
    <w:rPr>
      <w:vertAlign w:val="superscript"/>
    </w:rPr>
  </w:style>
  <w:style w:type="character" w:customStyle="1" w:styleId="Heading1Char">
    <w:name w:val="Heading 1 Char"/>
    <w:basedOn w:val="DefaultParagraphFont"/>
    <w:link w:val="Heading1"/>
    <w:uiPriority w:val="9"/>
    <w:rsid w:val="00E97E26"/>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E97E26"/>
    <w:rPr>
      <w:rFonts w:ascii="Tahoma" w:hAnsi="Tahoma" w:cs="Tahoma"/>
      <w:sz w:val="16"/>
      <w:szCs w:val="16"/>
    </w:rPr>
  </w:style>
  <w:style w:type="character" w:customStyle="1" w:styleId="BalloonTextChar">
    <w:name w:val="Balloon Text Char"/>
    <w:basedOn w:val="DefaultParagraphFont"/>
    <w:link w:val="BalloonText"/>
    <w:uiPriority w:val="99"/>
    <w:semiHidden/>
    <w:rsid w:val="00E97E26"/>
    <w:rPr>
      <w:rFonts w:ascii="Tahoma" w:eastAsia="Calibri" w:hAnsi="Tahoma" w:cs="Tahoma"/>
      <w:sz w:val="16"/>
      <w:szCs w:val="16"/>
    </w:rPr>
  </w:style>
  <w:style w:type="character" w:styleId="Emphasis">
    <w:name w:val="Emphasis"/>
    <w:basedOn w:val="DefaultParagraphFont"/>
    <w:uiPriority w:val="20"/>
    <w:qFormat/>
    <w:rsid w:val="00E97E26"/>
    <w:rPr>
      <w:i/>
      <w:iCs/>
    </w:rPr>
  </w:style>
  <w:style w:type="character" w:styleId="Strong">
    <w:name w:val="Strong"/>
    <w:basedOn w:val="DefaultParagraphFont"/>
    <w:uiPriority w:val="22"/>
    <w:qFormat/>
    <w:rsid w:val="00E97E26"/>
    <w:rPr>
      <w:b/>
      <w:bCs/>
    </w:rPr>
  </w:style>
  <w:style w:type="paragraph" w:styleId="Bibliography">
    <w:name w:val="Bibliography"/>
    <w:basedOn w:val="Normal"/>
    <w:next w:val="Normal"/>
    <w:uiPriority w:val="37"/>
    <w:unhideWhenUsed/>
    <w:rsid w:val="00E97E26"/>
  </w:style>
  <w:style w:type="paragraph" w:styleId="Header">
    <w:name w:val="header"/>
    <w:basedOn w:val="Normal"/>
    <w:link w:val="HeaderChar"/>
    <w:uiPriority w:val="99"/>
    <w:unhideWhenUsed/>
    <w:rsid w:val="00542DB9"/>
    <w:pPr>
      <w:tabs>
        <w:tab w:val="center" w:pos="4680"/>
        <w:tab w:val="right" w:pos="9360"/>
      </w:tabs>
    </w:pPr>
  </w:style>
  <w:style w:type="character" w:customStyle="1" w:styleId="HeaderChar">
    <w:name w:val="Header Char"/>
    <w:basedOn w:val="DefaultParagraphFont"/>
    <w:link w:val="Header"/>
    <w:uiPriority w:val="99"/>
    <w:rsid w:val="00542DB9"/>
    <w:rPr>
      <w:rFonts w:ascii="Times New Roman" w:eastAsia="Calibri" w:hAnsi="Times New Roman" w:cs="Times New Roman"/>
      <w:sz w:val="24"/>
      <w:szCs w:val="24"/>
    </w:rPr>
  </w:style>
  <w:style w:type="paragraph" w:styleId="Footer">
    <w:name w:val="footer"/>
    <w:basedOn w:val="Normal"/>
    <w:link w:val="FooterChar"/>
    <w:uiPriority w:val="99"/>
    <w:unhideWhenUsed/>
    <w:rsid w:val="00542DB9"/>
    <w:pPr>
      <w:tabs>
        <w:tab w:val="center" w:pos="4680"/>
        <w:tab w:val="right" w:pos="9360"/>
      </w:tabs>
    </w:pPr>
  </w:style>
  <w:style w:type="character" w:customStyle="1" w:styleId="FooterChar">
    <w:name w:val="Footer Char"/>
    <w:basedOn w:val="DefaultParagraphFont"/>
    <w:link w:val="Footer"/>
    <w:uiPriority w:val="99"/>
    <w:rsid w:val="00542DB9"/>
    <w:rPr>
      <w:rFonts w:ascii="Times New Roman" w:eastAsia="Calibri" w:hAnsi="Times New Roman" w:cs="Times New Roman"/>
      <w:sz w:val="24"/>
      <w:szCs w:val="24"/>
    </w:rPr>
  </w:style>
  <w:style w:type="character" w:styleId="Hyperlink">
    <w:name w:val="Hyperlink"/>
    <w:basedOn w:val="DefaultParagraphFont"/>
    <w:uiPriority w:val="99"/>
    <w:unhideWhenUsed/>
    <w:rsid w:val="00291525"/>
    <w:rPr>
      <w:color w:val="0000FF" w:themeColor="hyperlink"/>
      <w:u w:val="single"/>
    </w:rPr>
  </w:style>
  <w:style w:type="character" w:styleId="CommentReference">
    <w:name w:val="annotation reference"/>
    <w:basedOn w:val="DefaultParagraphFont"/>
    <w:uiPriority w:val="99"/>
    <w:semiHidden/>
    <w:unhideWhenUsed/>
    <w:rsid w:val="00147625"/>
    <w:rPr>
      <w:sz w:val="16"/>
      <w:szCs w:val="16"/>
    </w:rPr>
  </w:style>
  <w:style w:type="paragraph" w:styleId="CommentText">
    <w:name w:val="annotation text"/>
    <w:basedOn w:val="Normal"/>
    <w:link w:val="CommentTextChar"/>
    <w:uiPriority w:val="99"/>
    <w:semiHidden/>
    <w:unhideWhenUsed/>
    <w:rsid w:val="00147625"/>
    <w:rPr>
      <w:sz w:val="20"/>
      <w:szCs w:val="20"/>
    </w:rPr>
  </w:style>
  <w:style w:type="character" w:customStyle="1" w:styleId="CommentTextChar">
    <w:name w:val="Comment Text Char"/>
    <w:basedOn w:val="DefaultParagraphFont"/>
    <w:link w:val="CommentText"/>
    <w:uiPriority w:val="99"/>
    <w:semiHidden/>
    <w:rsid w:val="0014762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7625"/>
    <w:rPr>
      <w:b/>
      <w:bCs/>
    </w:rPr>
  </w:style>
  <w:style w:type="character" w:customStyle="1" w:styleId="CommentSubjectChar">
    <w:name w:val="Comment Subject Char"/>
    <w:basedOn w:val="CommentTextChar"/>
    <w:link w:val="CommentSubject"/>
    <w:uiPriority w:val="99"/>
    <w:semiHidden/>
    <w:rsid w:val="00147625"/>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38947">
      <w:bodyDiv w:val="1"/>
      <w:marLeft w:val="0"/>
      <w:marRight w:val="0"/>
      <w:marTop w:val="0"/>
      <w:marBottom w:val="0"/>
      <w:divBdr>
        <w:top w:val="none" w:sz="0" w:space="0" w:color="auto"/>
        <w:left w:val="none" w:sz="0" w:space="0" w:color="auto"/>
        <w:bottom w:val="none" w:sz="0" w:space="0" w:color="auto"/>
        <w:right w:val="none" w:sz="0" w:space="0" w:color="auto"/>
      </w:divBdr>
      <w:divsChild>
        <w:div w:id="634526907">
          <w:marLeft w:val="0"/>
          <w:marRight w:val="0"/>
          <w:marTop w:val="0"/>
          <w:marBottom w:val="0"/>
          <w:divBdr>
            <w:top w:val="none" w:sz="0" w:space="0" w:color="auto"/>
            <w:left w:val="none" w:sz="0" w:space="0" w:color="auto"/>
            <w:bottom w:val="none" w:sz="0" w:space="0" w:color="auto"/>
            <w:right w:val="none" w:sz="0" w:space="0" w:color="auto"/>
          </w:divBdr>
        </w:div>
      </w:divsChild>
    </w:div>
    <w:div w:id="934484027">
      <w:bodyDiv w:val="1"/>
      <w:marLeft w:val="0"/>
      <w:marRight w:val="0"/>
      <w:marTop w:val="0"/>
      <w:marBottom w:val="0"/>
      <w:divBdr>
        <w:top w:val="none" w:sz="0" w:space="0" w:color="auto"/>
        <w:left w:val="none" w:sz="0" w:space="0" w:color="auto"/>
        <w:bottom w:val="none" w:sz="0" w:space="0" w:color="auto"/>
        <w:right w:val="none" w:sz="0" w:space="0" w:color="auto"/>
      </w:divBdr>
      <w:divsChild>
        <w:div w:id="963080848">
          <w:marLeft w:val="547"/>
          <w:marRight w:val="0"/>
          <w:marTop w:val="101"/>
          <w:marBottom w:val="0"/>
          <w:divBdr>
            <w:top w:val="none" w:sz="0" w:space="0" w:color="auto"/>
            <w:left w:val="none" w:sz="0" w:space="0" w:color="auto"/>
            <w:bottom w:val="none" w:sz="0" w:space="0" w:color="auto"/>
            <w:right w:val="none" w:sz="0" w:space="0" w:color="auto"/>
          </w:divBdr>
        </w:div>
      </w:divsChild>
    </w:div>
    <w:div w:id="20515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cadp.or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cd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fadp.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fadp.or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aaidd.org/intellectual-disability/definition" TargetMode="External"/><Relationship Id="rId14" Type="http://schemas.openxmlformats.org/officeDocument/2006/relationships/hyperlink" Target="mailto:info@gaca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Ame</b:Tag>
    <b:SourceType>DocumentFromInternetSite</b:SourceType>
    <b:Guid>{5FC75F41-9232-4D4E-B070-1265EED87E59}</b:Guid>
    <b:Author>
      <b:Author>
        <b:NameList>
          <b:Person>
            <b:Last>Disabilities</b:Last>
            <b:First>American</b:First>
            <b:Middle>Association on Intellectual and Developmental</b:Middle>
          </b:Person>
        </b:NameList>
      </b:Author>
    </b:Author>
    <b:URL>http://aaidd.org/intellectual-disability/definition</b:URL>
    <b:RefOrder>1</b:RefOrder>
  </b:Source>
</b:Sources>
</file>

<file path=customXml/itemProps1.xml><?xml version="1.0" encoding="utf-8"?>
<ds:datastoreItem xmlns:ds="http://schemas.openxmlformats.org/officeDocument/2006/customXml" ds:itemID="{98D8EF34-D71E-4C29-AC66-CB9B08D4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DBHDD</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Childs</dc:creator>
  <cp:lastModifiedBy>Caitlin Childs</cp:lastModifiedBy>
  <cp:revision>2</cp:revision>
  <dcterms:created xsi:type="dcterms:W3CDTF">2016-01-19T15:16:00Z</dcterms:created>
  <dcterms:modified xsi:type="dcterms:W3CDTF">2016-01-19T15:16:00Z</dcterms:modified>
</cp:coreProperties>
</file>